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24" w:firstLineChars="231"/>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关于征集南宁市第四人民医院存储扩容报价的公告</w:t>
      </w:r>
    </w:p>
    <w:p>
      <w:pPr>
        <w:pStyle w:val="2"/>
      </w:pPr>
    </w:p>
    <w:p>
      <w:pPr>
        <w:pStyle w:val="2"/>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根据医院工作需要，我院拟</w:t>
      </w:r>
      <w:r>
        <w:rPr>
          <w:rFonts w:hint="eastAsia" w:ascii="仿宋_GB2312" w:hAnsi="仿宋_GB2312" w:eastAsia="仿宋_GB2312" w:cs="仿宋_GB2312"/>
          <w:sz w:val="32"/>
          <w:szCs w:val="32"/>
          <w:lang w:val="en-US" w:eastAsia="zh-CN"/>
        </w:rPr>
        <w:t>对我院的存储进行扩容。</w:t>
      </w:r>
      <w:r>
        <w:rPr>
          <w:rFonts w:hint="eastAsia" w:ascii="仿宋_GB2312" w:hAnsi="仿宋_GB2312" w:eastAsia="仿宋_GB2312" w:cs="仿宋_GB2312"/>
          <w:sz w:val="32"/>
          <w:szCs w:val="32"/>
        </w:rPr>
        <w:t>现对</w:t>
      </w:r>
      <w:r>
        <w:rPr>
          <w:rFonts w:hint="eastAsia" w:ascii="仿宋_GB2312" w:hAnsi="仿宋_GB2312" w:eastAsia="仿宋_GB2312" w:cs="仿宋_GB2312"/>
          <w:sz w:val="32"/>
          <w:szCs w:val="32"/>
          <w:lang w:val="en-US" w:eastAsia="zh-CN"/>
        </w:rPr>
        <w:t>存储扩容的价格</w:t>
      </w:r>
      <w:r>
        <w:rPr>
          <w:rFonts w:hint="eastAsia" w:ascii="仿宋_GB2312" w:hAnsi="仿宋_GB2312" w:eastAsia="仿宋_GB2312" w:cs="仿宋_GB2312"/>
          <w:sz w:val="32"/>
          <w:szCs w:val="32"/>
        </w:rPr>
        <w:t>进行公开征集。请有相关资质的企业见到本公告后。携带相关资料前来我院报名</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扩容配置参数</w:t>
      </w:r>
      <w:r>
        <w:rPr>
          <w:rFonts w:hint="eastAsia" w:ascii="仿宋_GB2312" w:hAnsi="仿宋_GB2312" w:eastAsia="仿宋_GB2312" w:cs="仿宋_GB2312"/>
          <w:sz w:val="32"/>
          <w:szCs w:val="32"/>
        </w:rPr>
        <w:t>需求</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配置参数</w:t>
      </w:r>
      <w:r>
        <w:rPr>
          <w:rFonts w:hint="eastAsia" w:ascii="仿宋_GB2312" w:hAnsi="仿宋_GB2312" w:eastAsia="仿宋_GB2312" w:cs="仿宋_GB2312"/>
          <w:sz w:val="32"/>
          <w:szCs w:val="32"/>
        </w:rPr>
        <w:t>需求及报价表</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5460"/>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szCs w:val="21"/>
                <w:lang w:val="en-US" w:eastAsia="zh-CN"/>
              </w:rPr>
            </w:pPr>
            <w:r>
              <w:rPr>
                <w:rFonts w:hint="eastAsia" w:ascii="宋体" w:hAnsi="宋体"/>
                <w:szCs w:val="21"/>
                <w:lang w:val="en-US" w:eastAsia="zh-CN"/>
              </w:rPr>
              <w:t>名称</w:t>
            </w:r>
          </w:p>
        </w:tc>
        <w:tc>
          <w:tcPr>
            <w:tcW w:w="5460" w:type="dxa"/>
            <w:tcBorders>
              <w:top w:val="single" w:color="auto" w:sz="4" w:space="0"/>
              <w:left w:val="single" w:color="auto" w:sz="4" w:space="0"/>
              <w:bottom w:val="single" w:color="auto" w:sz="4" w:space="0"/>
              <w:right w:val="single" w:color="auto" w:sz="4" w:space="0"/>
            </w:tcBorders>
          </w:tcPr>
          <w:p>
            <w:pPr>
              <w:spacing w:line="360" w:lineRule="auto"/>
              <w:ind w:firstLine="2310" w:firstLineChars="1100"/>
              <w:rPr>
                <w:rFonts w:ascii="宋体" w:hAnsi="宋体" w:eastAsia="宋体"/>
                <w:szCs w:val="21"/>
              </w:rPr>
            </w:pPr>
            <w:r>
              <w:rPr>
                <w:rFonts w:hint="eastAsia" w:ascii="宋体" w:hAnsi="宋体" w:eastAsia="宋体"/>
                <w:szCs w:val="21"/>
              </w:rPr>
              <w:t>配置参数</w:t>
            </w: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r>
              <w:rPr>
                <w:rFonts w:hint="eastAsia" w:ascii="宋体" w:hAnsi="宋体" w:eastAsia="宋体"/>
                <w:szCs w:val="21"/>
              </w:rPr>
              <w:t>数量</w:t>
            </w:r>
          </w:p>
        </w:tc>
        <w:tc>
          <w:tcPr>
            <w:tcW w:w="107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r>
              <w:rPr>
                <w:rFonts w:hint="eastAsia" w:ascii="宋体" w:hAnsi="宋体" w:eastAsia="宋体"/>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r>
              <w:rPr>
                <w:rFonts w:hint="eastAsia" w:ascii="宋体" w:hAnsi="宋体" w:eastAsia="宋体"/>
                <w:szCs w:val="21"/>
              </w:rPr>
              <w:t>存储扩容</w:t>
            </w:r>
          </w:p>
        </w:tc>
        <w:tc>
          <w:tcPr>
            <w:tcW w:w="5460" w:type="dxa"/>
            <w:tcBorders>
              <w:top w:val="single" w:color="auto" w:sz="4" w:space="0"/>
              <w:left w:val="single" w:color="auto" w:sz="4" w:space="0"/>
              <w:bottom w:val="single" w:color="auto" w:sz="4" w:space="0"/>
              <w:right w:val="single" w:color="auto" w:sz="4" w:space="0"/>
            </w:tcBorders>
          </w:tcPr>
          <w:p>
            <w:pPr>
              <w:numPr>
                <w:ilvl w:val="0"/>
                <w:numId w:val="2"/>
              </w:numPr>
              <w:spacing w:line="360" w:lineRule="auto"/>
              <w:rPr>
                <w:rFonts w:ascii="宋体" w:hAnsi="宋体" w:eastAsia="宋体"/>
                <w:szCs w:val="21"/>
              </w:rPr>
            </w:pPr>
            <w:r>
              <w:rPr>
                <w:rFonts w:hint="eastAsia" w:ascii="宋体" w:hAnsi="宋体" w:eastAsia="宋体"/>
                <w:szCs w:val="21"/>
              </w:rPr>
              <w:t>全冗余双引擎架构，4U 24盘位盘控一体架构，实配两个控制器，控制器之间通讯采用PCI-E3.0通道技术互联；双控制器为A/A模式，承载独立的业务，可实现自动的负载均衡。引擎数最大可扩展至数量≥</w:t>
            </w:r>
            <w:r>
              <w:rPr>
                <w:rFonts w:ascii="宋体" w:hAnsi="宋体" w:eastAsia="宋体"/>
                <w:szCs w:val="21"/>
              </w:rPr>
              <w:t>16</w:t>
            </w:r>
            <w:r>
              <w:rPr>
                <w:rFonts w:hint="eastAsia" w:ascii="宋体" w:hAnsi="宋体" w:eastAsia="宋体"/>
                <w:szCs w:val="21"/>
              </w:rPr>
              <w:t>个；</w:t>
            </w:r>
          </w:p>
          <w:p>
            <w:pPr>
              <w:numPr>
                <w:ilvl w:val="0"/>
                <w:numId w:val="2"/>
              </w:numPr>
              <w:spacing w:line="360" w:lineRule="auto"/>
              <w:rPr>
                <w:rFonts w:ascii="宋体" w:hAnsi="宋体" w:eastAsia="宋体"/>
                <w:szCs w:val="21"/>
              </w:rPr>
            </w:pPr>
            <w:r>
              <w:rPr>
                <w:rFonts w:hint="eastAsia" w:ascii="宋体" w:hAnsi="宋体" w:eastAsia="宋体"/>
                <w:szCs w:val="21"/>
              </w:rPr>
              <w:t>配置前端接口10Gbps iSCSI≥</w:t>
            </w:r>
            <w:r>
              <w:rPr>
                <w:rFonts w:ascii="宋体" w:hAnsi="宋体" w:eastAsia="宋体"/>
                <w:szCs w:val="21"/>
              </w:rPr>
              <w:t>4</w:t>
            </w:r>
            <w:r>
              <w:rPr>
                <w:rFonts w:hint="eastAsia" w:ascii="宋体" w:hAnsi="宋体" w:eastAsia="宋体"/>
                <w:szCs w:val="21"/>
              </w:rPr>
              <w:t>个、1Gbps iSCSI ≥</w:t>
            </w:r>
            <w:r>
              <w:rPr>
                <w:rFonts w:ascii="宋体" w:hAnsi="宋体" w:eastAsia="宋体"/>
                <w:szCs w:val="21"/>
              </w:rPr>
              <w:t>14</w:t>
            </w:r>
            <w:r>
              <w:rPr>
                <w:rFonts w:hint="eastAsia" w:ascii="宋体" w:hAnsi="宋体" w:eastAsia="宋体"/>
                <w:szCs w:val="21"/>
              </w:rPr>
              <w:t>个；16Gb FC ≥8个（满配光模块）可扩展10/40GGbp iSCSI，8/16Gbps FC IO卡；</w:t>
            </w:r>
          </w:p>
          <w:p>
            <w:pPr>
              <w:numPr>
                <w:ilvl w:val="0"/>
                <w:numId w:val="2"/>
              </w:numPr>
              <w:spacing w:line="360" w:lineRule="auto"/>
              <w:rPr>
                <w:rFonts w:ascii="宋体" w:hAnsi="宋体" w:eastAsia="宋体"/>
                <w:szCs w:val="21"/>
              </w:rPr>
            </w:pPr>
            <w:r>
              <w:rPr>
                <w:rFonts w:hint="eastAsia" w:ascii="宋体" w:hAnsi="宋体" w:eastAsia="宋体"/>
                <w:szCs w:val="21"/>
              </w:rPr>
              <w:t>配置后端磁盘通道 8个，总带宽</w:t>
            </w:r>
            <w:r>
              <w:rPr>
                <w:rFonts w:ascii="宋体" w:hAnsi="宋体" w:eastAsia="宋体"/>
                <w:szCs w:val="21"/>
              </w:rPr>
              <w:t>192</w:t>
            </w:r>
            <w:r>
              <w:rPr>
                <w:rFonts w:hint="eastAsia" w:ascii="宋体" w:hAnsi="宋体" w:eastAsia="宋体"/>
                <w:szCs w:val="21"/>
              </w:rPr>
              <w:t>Gb；</w:t>
            </w:r>
          </w:p>
          <w:p>
            <w:pPr>
              <w:numPr>
                <w:ilvl w:val="0"/>
                <w:numId w:val="2"/>
              </w:numPr>
              <w:spacing w:line="360" w:lineRule="auto"/>
              <w:rPr>
                <w:rFonts w:ascii="宋体" w:hAnsi="宋体" w:eastAsia="宋体"/>
                <w:szCs w:val="21"/>
              </w:rPr>
            </w:pPr>
            <w:r>
              <w:rPr>
                <w:rFonts w:hint="eastAsia" w:ascii="宋体" w:hAnsi="宋体" w:eastAsia="宋体"/>
                <w:szCs w:val="21"/>
              </w:rPr>
              <w:t xml:space="preserve">配置高速缓存128GB（缓存不包含SCM、SSD磁盘、闪存及NAS控制器缓存等），双控可扩展至1TB；支持写缓存镜像，采用缓存降落技术，掉电后能够将缓存数据下刷到硬盘中进行永久保存; </w:t>
            </w:r>
          </w:p>
          <w:p>
            <w:pPr>
              <w:numPr>
                <w:ilvl w:val="0"/>
                <w:numId w:val="2"/>
              </w:numPr>
              <w:spacing w:line="360" w:lineRule="auto"/>
              <w:rPr>
                <w:rFonts w:ascii="宋体" w:hAnsi="宋体" w:eastAsia="宋体"/>
                <w:szCs w:val="21"/>
              </w:rPr>
            </w:pPr>
            <w:r>
              <w:rPr>
                <w:rFonts w:hint="eastAsia" w:ascii="宋体" w:hAnsi="宋体" w:eastAsia="宋体"/>
                <w:szCs w:val="21"/>
              </w:rPr>
              <w:t>系统支持最大硬盘数</w:t>
            </w:r>
            <w:r>
              <w:rPr>
                <w:rFonts w:ascii="宋体" w:hAnsi="宋体" w:eastAsia="宋体"/>
                <w:szCs w:val="21"/>
              </w:rPr>
              <w:t>1</w:t>
            </w:r>
            <w:r>
              <w:rPr>
                <w:rFonts w:hint="eastAsia" w:ascii="宋体" w:hAnsi="宋体" w:eastAsia="宋体"/>
                <w:szCs w:val="21"/>
              </w:rPr>
              <w:t xml:space="preserve">000块，配置全部容量授权许可，未来扩容任意类型硬盘，不需要再支付相应的授权许可费；支持SSD、SAS、NL-SAS类型硬盘，支持不同硬盘类型在同一硬盘柜混插、热拔插和在线更换故障硬盘； </w:t>
            </w:r>
          </w:p>
          <w:p>
            <w:pPr>
              <w:numPr>
                <w:ilvl w:val="0"/>
                <w:numId w:val="2"/>
              </w:numPr>
              <w:spacing w:line="360" w:lineRule="auto"/>
              <w:rPr>
                <w:rFonts w:ascii="宋体" w:hAnsi="宋体" w:eastAsia="宋体"/>
                <w:szCs w:val="21"/>
              </w:rPr>
            </w:pPr>
            <w:r>
              <w:rPr>
                <w:rFonts w:hint="eastAsia" w:ascii="宋体" w:hAnsi="宋体" w:eastAsia="宋体"/>
                <w:szCs w:val="21"/>
              </w:rPr>
              <w:t>配置20块1</w:t>
            </w:r>
            <w:r>
              <w:rPr>
                <w:rFonts w:ascii="宋体" w:hAnsi="宋体" w:eastAsia="宋体"/>
                <w:szCs w:val="21"/>
              </w:rPr>
              <w:t>0</w:t>
            </w:r>
            <w:r>
              <w:rPr>
                <w:rFonts w:hint="eastAsia" w:ascii="宋体" w:hAnsi="宋体" w:eastAsia="宋体"/>
                <w:szCs w:val="21"/>
              </w:rPr>
              <w:t>TB 企业级SAS硬盘；（按照RIAD6可靠性方式  配置RAID组可用容量不少于1</w:t>
            </w:r>
            <w:r>
              <w:rPr>
                <w:rFonts w:ascii="宋体" w:hAnsi="宋体" w:eastAsia="宋体"/>
                <w:szCs w:val="21"/>
              </w:rPr>
              <w:t>55</w:t>
            </w:r>
            <w:r>
              <w:rPr>
                <w:rFonts w:hint="eastAsia" w:ascii="宋体" w:hAnsi="宋体" w:eastAsia="宋体"/>
                <w:szCs w:val="21"/>
              </w:rPr>
              <w:t>TB）</w:t>
            </w:r>
          </w:p>
          <w:p>
            <w:pPr>
              <w:numPr>
                <w:ilvl w:val="0"/>
                <w:numId w:val="2"/>
              </w:numPr>
              <w:spacing w:line="360" w:lineRule="auto"/>
              <w:rPr>
                <w:rFonts w:ascii="宋体" w:hAnsi="宋体" w:eastAsia="宋体"/>
                <w:szCs w:val="21"/>
              </w:rPr>
            </w:pPr>
            <w:r>
              <w:rPr>
                <w:rFonts w:hint="eastAsia" w:ascii="宋体" w:hAnsi="宋体" w:eastAsia="宋体"/>
                <w:szCs w:val="21"/>
              </w:rPr>
              <w:t>支持RAID快速重建功能，在RAID5中，单块硬盘发生闪断，重建时间不超过30分钟；在RAID5中，单块硬盘大面积介质故障，热备盘重建时间不超过40分钟。</w:t>
            </w:r>
          </w:p>
          <w:p>
            <w:pPr>
              <w:numPr>
                <w:ilvl w:val="0"/>
                <w:numId w:val="2"/>
              </w:numPr>
              <w:spacing w:line="360" w:lineRule="auto"/>
              <w:rPr>
                <w:rFonts w:ascii="宋体" w:hAnsi="宋体" w:eastAsia="宋体"/>
                <w:szCs w:val="21"/>
              </w:rPr>
            </w:pPr>
            <w:r>
              <w:rPr>
                <w:rFonts w:hint="eastAsia" w:ascii="宋体" w:hAnsi="宋体" w:eastAsia="宋体"/>
                <w:szCs w:val="21"/>
              </w:rPr>
              <w:t>支持后续在线升级到存储双活功能，在只需增加一台存储的情况下实现存储双活；</w:t>
            </w:r>
          </w:p>
          <w:p>
            <w:pPr>
              <w:numPr>
                <w:ilvl w:val="0"/>
                <w:numId w:val="2"/>
              </w:numPr>
              <w:spacing w:line="360" w:lineRule="auto"/>
              <w:rPr>
                <w:rFonts w:ascii="宋体" w:hAnsi="宋体" w:eastAsia="宋体"/>
                <w:szCs w:val="21"/>
              </w:rPr>
            </w:pPr>
            <w:r>
              <w:rPr>
                <w:rFonts w:hint="eastAsia" w:ascii="宋体" w:hAnsi="宋体" w:eastAsia="宋体"/>
                <w:szCs w:val="21"/>
              </w:rPr>
              <w:t>配置中文图形化管理平台软件，采用开放存储管理软件，开放存储API接口，支持功能特性植入和二次开发, 配置日志告警、指示灯告警、控制台告警、蜂鸣器告警、邮件告警支持功能，支持故障事件和告警联动方式自定义；</w:t>
            </w:r>
          </w:p>
          <w:p>
            <w:pPr>
              <w:numPr>
                <w:ilvl w:val="0"/>
                <w:numId w:val="2"/>
              </w:numPr>
              <w:spacing w:line="360" w:lineRule="auto"/>
              <w:rPr>
                <w:rFonts w:ascii="宋体" w:hAnsi="宋体" w:eastAsia="宋体"/>
                <w:szCs w:val="21"/>
              </w:rPr>
            </w:pPr>
            <w:r>
              <w:rPr>
                <w:rFonts w:hint="eastAsia" w:ascii="宋体" w:hAnsi="宋体" w:eastAsia="宋体"/>
                <w:szCs w:val="21"/>
              </w:rPr>
              <w:t>配置自动精简功能，统筹动态分配存储资源，降低存储容量规划难度，精简粒度4K、8K、16K、32K、64K、128K、256K、512K、1M可调节</w:t>
            </w:r>
          </w:p>
          <w:p>
            <w:pPr>
              <w:numPr>
                <w:ilvl w:val="0"/>
                <w:numId w:val="2"/>
              </w:numPr>
              <w:spacing w:line="360" w:lineRule="auto"/>
              <w:rPr>
                <w:rFonts w:ascii="宋体" w:hAnsi="宋体" w:eastAsia="宋体"/>
                <w:szCs w:val="21"/>
              </w:rPr>
            </w:pPr>
            <w:r>
              <w:rPr>
                <w:rFonts w:hint="eastAsia" w:ascii="宋体" w:hAnsi="宋体" w:eastAsia="宋体"/>
                <w:szCs w:val="21"/>
              </w:rPr>
              <w:t>支持存储快照功能，要求存储设备同时支持COW和ROW快照，有效预防各种软故障的发生，单LUN支持快照数量≥2048个；支持在快照基础上再次创建快照，并支持跨级回滚，以保障快照数据安全。</w:t>
            </w:r>
          </w:p>
          <w:p>
            <w:pPr>
              <w:numPr>
                <w:ilvl w:val="0"/>
                <w:numId w:val="2"/>
              </w:numPr>
              <w:spacing w:line="360" w:lineRule="auto"/>
              <w:rPr>
                <w:rFonts w:ascii="宋体" w:hAnsi="宋体" w:eastAsia="宋体"/>
                <w:szCs w:val="21"/>
              </w:rPr>
            </w:pPr>
            <w:r>
              <w:rPr>
                <w:rFonts w:hint="eastAsia" w:ascii="宋体" w:hAnsi="宋体" w:eastAsia="宋体"/>
                <w:szCs w:val="21"/>
              </w:rPr>
              <w:t>支持图形化界面查看实时和历史性能数据。可在图形界面上查看≥1年的性能数据，可按控制器、前端端口、后端端口、主机、硬盘、RAID等多粒度统计。统计项包括IOPS、带宽、平均延时、最大延时、Cache命中率。</w:t>
            </w:r>
          </w:p>
          <w:p>
            <w:pPr>
              <w:numPr>
                <w:ilvl w:val="0"/>
                <w:numId w:val="2"/>
              </w:numPr>
              <w:spacing w:line="360" w:lineRule="auto"/>
              <w:rPr>
                <w:rFonts w:ascii="宋体" w:hAnsi="宋体" w:eastAsia="宋体"/>
                <w:szCs w:val="21"/>
              </w:rPr>
            </w:pPr>
            <w:r>
              <w:rPr>
                <w:rFonts w:hint="eastAsia" w:ascii="宋体" w:hAnsi="宋体" w:eastAsia="宋体"/>
                <w:szCs w:val="21"/>
              </w:rPr>
              <w:t>配置自动巡检功能，设置巡检策略，自动执行在网存储设备巡检，生成巡检结果，按需将巡检结果自动发送给指定接收人；</w:t>
            </w:r>
          </w:p>
          <w:p>
            <w:pPr>
              <w:numPr>
                <w:ilvl w:val="0"/>
                <w:numId w:val="2"/>
              </w:numPr>
              <w:spacing w:line="360" w:lineRule="auto"/>
              <w:rPr>
                <w:rFonts w:hint="eastAsia" w:ascii="宋体" w:hAnsi="宋体" w:eastAsia="宋体"/>
                <w:szCs w:val="21"/>
              </w:rPr>
            </w:pPr>
            <w:r>
              <w:rPr>
                <w:rFonts w:hint="eastAsia" w:ascii="宋体" w:hAnsi="宋体" w:eastAsia="宋体"/>
                <w:szCs w:val="21"/>
              </w:rPr>
              <w:t>在原有全闪存存储上扩容</w:t>
            </w:r>
            <w:r>
              <w:rPr>
                <w:rFonts w:ascii="宋体" w:hAnsi="宋体" w:eastAsia="宋体"/>
                <w:szCs w:val="21"/>
              </w:rPr>
              <w:t>3.84</w:t>
            </w:r>
            <w:r>
              <w:rPr>
                <w:rFonts w:hint="eastAsia" w:ascii="宋体" w:hAnsi="宋体" w:eastAsia="宋体"/>
                <w:szCs w:val="21"/>
              </w:rPr>
              <w:t xml:space="preserve"> TB NVME</w:t>
            </w:r>
            <w:r>
              <w:rPr>
                <w:rFonts w:ascii="宋体" w:hAnsi="宋体" w:eastAsia="宋体"/>
                <w:szCs w:val="21"/>
              </w:rPr>
              <w:t xml:space="preserve"> </w:t>
            </w:r>
            <w:r>
              <w:rPr>
                <w:rFonts w:hint="eastAsia" w:ascii="宋体" w:hAnsi="宋体" w:eastAsia="宋体"/>
                <w:szCs w:val="21"/>
              </w:rPr>
              <w:t>SSD企业级固态硬盘</w:t>
            </w:r>
            <w:r>
              <w:rPr>
                <w:rFonts w:ascii="宋体" w:hAnsi="宋体" w:eastAsia="宋体"/>
                <w:szCs w:val="21"/>
              </w:rPr>
              <w:t>12</w:t>
            </w:r>
            <w:r>
              <w:rPr>
                <w:rFonts w:hint="eastAsia" w:ascii="宋体" w:hAnsi="宋体" w:eastAsia="宋体"/>
                <w:szCs w:val="21"/>
              </w:rPr>
              <w:t>块，含一体化硬盘驱动器套件（驱动器托架及接口）；按RAID6保护方式可用容量不少于</w:t>
            </w:r>
            <w:r>
              <w:rPr>
                <w:rFonts w:ascii="宋体" w:hAnsi="宋体" w:eastAsia="宋体"/>
                <w:szCs w:val="21"/>
              </w:rPr>
              <w:t>28</w:t>
            </w:r>
            <w:r>
              <w:rPr>
                <w:rFonts w:hint="eastAsia" w:ascii="宋体" w:hAnsi="宋体" w:eastAsia="宋体"/>
                <w:szCs w:val="21"/>
              </w:rPr>
              <w:t>TB；</w:t>
            </w:r>
          </w:p>
          <w:p>
            <w:pPr>
              <w:numPr>
                <w:ilvl w:val="0"/>
                <w:numId w:val="2"/>
              </w:numPr>
              <w:spacing w:line="360" w:lineRule="auto"/>
              <w:rPr>
                <w:rFonts w:ascii="宋体" w:hAnsi="宋体" w:eastAsia="宋体"/>
                <w:szCs w:val="21"/>
              </w:rPr>
            </w:pPr>
            <w:r>
              <w:rPr>
                <w:rFonts w:hint="eastAsia" w:ascii="宋体" w:hAnsi="宋体" w:eastAsia="宋体"/>
                <w:szCs w:val="21"/>
              </w:rPr>
              <w:t xml:space="preserve">提供三年7*24小时原厂维保；原厂上门安装；扩容实施服务（包含安装环境的调研、确定和测试；扩容硬盘的上架安装；设置扩容设备RAID和LUN；配置和原有设备容量的合并确保扩容容量无缝对接到上层应用；主机系统端设置；扩容设备和主机端系统联调；存储数据的统一规划调整；交付安装配置说明及使用说明) </w:t>
            </w: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r>
              <w:rPr>
                <w:rFonts w:hint="eastAsia" w:ascii="宋体" w:hAnsi="宋体" w:eastAsia="宋体"/>
                <w:szCs w:val="21"/>
              </w:rPr>
              <w:t>1</w:t>
            </w:r>
          </w:p>
        </w:tc>
        <w:tc>
          <w:tcPr>
            <w:tcW w:w="107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r>
    </w:tbl>
    <w:p>
      <w:pPr>
        <w:pStyle w:val="3"/>
        <w:rPr>
          <w:rFonts w:hint="eastAsia"/>
        </w:rPr>
      </w:pP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二、报名须提交的资料</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供应商填写《配置参数需求及报价表》，此配置参数需求及报价表是基础需求，请各报名供应商可在此基础上提供更优的建设方案及报价，并提供案例清单，资格证明材料承诺函（格式自拟）。所有复印件必须加盖单位公章。</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（二）所有材料盖章并用信封密封，标明公司名称，联系人及联系电话（未留联系方式的报名无效）、日期，并在封口处盖章。</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三、本次征集南宁市第四人民医院存储扩容报价的目的是在征求各供应商提供满足采购需求的最优建设方案及报价，综合评估报价后拟定招标采购的最高限价</w:t>
      </w:r>
      <w:bookmarkStart w:id="0" w:name="_GoBack"/>
      <w:bookmarkEnd w:id="0"/>
      <w:r>
        <w:rPr>
          <w:rFonts w:hint="eastAsia" w:ascii="仿宋_GB2312" w:hAnsi="仿宋_GB2312" w:eastAsia="仿宋_GB2312" w:cs="仿宋_GB2312"/>
          <w:kern w:val="2"/>
          <w:sz w:val="32"/>
          <w:szCs w:val="32"/>
          <w:lang w:val="en-US" w:eastAsia="zh-CN" w:bidi="ar-SA"/>
        </w:rPr>
        <w:t>，请供应商认真报价，如被发现恶意竞争和恶意报价情况，则取消本次报名资格。</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四、报名时间</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报名和提交响应文件截止时间为2023年7月6日17：30时（北京时间），地点：南宁市第四人民医院信息科。逾期送达的，不予受理。</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六、联系方式</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 陈工13607862445  潘工 18577110995</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地址：南宁市第四人民医院8号楼3楼信息科</w:t>
      </w:r>
    </w:p>
    <w:p>
      <w:pPr>
        <w:rPr>
          <w:rFonts w:hint="eastAsia"/>
        </w:rPr>
      </w:pPr>
    </w:p>
    <w:p>
      <w:pPr>
        <w:rPr>
          <w:rFonts w:hint="eastAsia" w:ascii="仿宋_GB2312" w:hAnsi="仿宋_GB2312" w:eastAsia="仿宋_GB2312" w:cs="仿宋_GB2312"/>
          <w:kern w:val="2"/>
          <w:sz w:val="32"/>
          <w:szCs w:val="32"/>
          <w:lang w:val="en-US" w:eastAsia="zh-CN" w:bidi="ar-SA"/>
        </w:rPr>
      </w:pPr>
      <w:r>
        <w:rPr>
          <w:rFonts w:hint="eastAsia"/>
        </w:rPr>
        <w:t xml:space="preserve">                                                  </w:t>
      </w:r>
      <w:r>
        <w:rPr>
          <w:rFonts w:hint="eastAsia" w:ascii="仿宋_GB2312" w:hAnsi="仿宋_GB2312" w:eastAsia="仿宋_GB2312" w:cs="仿宋_GB2312"/>
          <w:kern w:val="2"/>
          <w:sz w:val="32"/>
          <w:szCs w:val="32"/>
          <w:lang w:val="en-US" w:eastAsia="zh-CN" w:bidi="ar-SA"/>
        </w:rPr>
        <w:t>南宁市第四人民医院</w:t>
      </w:r>
    </w:p>
    <w:p>
      <w:pPr>
        <w:ind w:firstLine="4800" w:firstLineChars="15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日期：2023年6月29日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0348"/>
    <w:multiLevelType w:val="multilevel"/>
    <w:tmpl w:val="750B034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56D29A0"/>
    <w:multiLevelType w:val="multilevel"/>
    <w:tmpl w:val="756D29A0"/>
    <w:lvl w:ilvl="0" w:tentative="0">
      <w:start w:val="1"/>
      <w:numFmt w:val="decimal"/>
      <w:suff w:val="nothing"/>
      <w:lvlText w:val="%1."/>
      <w:lvlJc w:val="left"/>
      <w:pPr>
        <w:ind w:left="0" w:firstLine="0"/>
      </w:pPr>
      <w:rPr>
        <w:rFonts w:hint="eastAsia" w:ascii="宋体" w:hAnsi="宋体" w:eastAsia="宋体"/>
        <w:b w:val="0"/>
        <w:bCs/>
        <w:i w:val="0"/>
        <w:spacing w:val="-12"/>
        <w:sz w:val="28"/>
        <w:szCs w:val="44"/>
      </w:rPr>
    </w:lvl>
    <w:lvl w:ilvl="1" w:tentative="0">
      <w:start w:val="1"/>
      <w:numFmt w:val="decimal"/>
      <w:pStyle w:val="4"/>
      <w:suff w:val="nothing"/>
      <w:lvlText w:val="%1.%2."/>
      <w:lvlJc w:val="left"/>
      <w:pPr>
        <w:ind w:left="0" w:firstLine="0"/>
      </w:pPr>
      <w:rPr>
        <w:rFonts w:hint="default" w:ascii="宋体" w:hAnsi="宋体" w:eastAsia="宋体"/>
        <w:sz w:val="28"/>
        <w:szCs w:val="24"/>
      </w:rPr>
    </w:lvl>
    <w:lvl w:ilvl="2" w:tentative="0">
      <w:start w:val="1"/>
      <w:numFmt w:val="decimal"/>
      <w:pStyle w:val="5"/>
      <w:suff w:val="nothing"/>
      <w:lvlText w:val="%1.%2.%3."/>
      <w:lvlJc w:val="left"/>
      <w:pPr>
        <w:ind w:left="0" w:firstLine="0"/>
      </w:pPr>
      <w:rPr>
        <w:rFonts w:hint="default" w:ascii="宋体" w:hAnsi="宋体" w:eastAsia="宋体" w:cs="Times New Roman"/>
        <w:sz w:val="28"/>
      </w:rPr>
    </w:lvl>
    <w:lvl w:ilvl="3" w:tentative="0">
      <w:start w:val="1"/>
      <w:numFmt w:val="decimal"/>
      <w:suff w:val="nothing"/>
      <w:lvlText w:val="%1.%2.%3.%4."/>
      <w:lvlJc w:val="left"/>
      <w:pPr>
        <w:ind w:left="0" w:firstLine="0"/>
      </w:pPr>
      <w:rPr>
        <w:rFonts w:hint="eastAsia" w:ascii="宋体" w:hAnsi="宋体" w:eastAsia="宋体"/>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7292121A"/>
    <w:rsid w:val="04173CEB"/>
    <w:rsid w:val="04612DDD"/>
    <w:rsid w:val="06B45E38"/>
    <w:rsid w:val="0EF80443"/>
    <w:rsid w:val="102C7292"/>
    <w:rsid w:val="11FA4B90"/>
    <w:rsid w:val="12D47043"/>
    <w:rsid w:val="134B6B1B"/>
    <w:rsid w:val="13BF1A9B"/>
    <w:rsid w:val="154913AA"/>
    <w:rsid w:val="169330C6"/>
    <w:rsid w:val="22F41960"/>
    <w:rsid w:val="23BF2541"/>
    <w:rsid w:val="241C611B"/>
    <w:rsid w:val="28430037"/>
    <w:rsid w:val="2C49508E"/>
    <w:rsid w:val="2E5312BC"/>
    <w:rsid w:val="2EBB16F8"/>
    <w:rsid w:val="31B27630"/>
    <w:rsid w:val="32786843"/>
    <w:rsid w:val="32951BDB"/>
    <w:rsid w:val="348B657D"/>
    <w:rsid w:val="385F230F"/>
    <w:rsid w:val="3C0268B7"/>
    <w:rsid w:val="3CAB5304"/>
    <w:rsid w:val="3FE22E0A"/>
    <w:rsid w:val="439207B3"/>
    <w:rsid w:val="48DE6B5C"/>
    <w:rsid w:val="4AD62FEE"/>
    <w:rsid w:val="4B9E59F8"/>
    <w:rsid w:val="50372C3F"/>
    <w:rsid w:val="513E4137"/>
    <w:rsid w:val="51A55D7D"/>
    <w:rsid w:val="54473FE6"/>
    <w:rsid w:val="57380377"/>
    <w:rsid w:val="57AA67C9"/>
    <w:rsid w:val="5A14267E"/>
    <w:rsid w:val="5AE477D5"/>
    <w:rsid w:val="5CFC234E"/>
    <w:rsid w:val="5EE07E6E"/>
    <w:rsid w:val="61746B30"/>
    <w:rsid w:val="6289455D"/>
    <w:rsid w:val="62E90E90"/>
    <w:rsid w:val="6853216A"/>
    <w:rsid w:val="6B2B40A5"/>
    <w:rsid w:val="7292121A"/>
    <w:rsid w:val="75EEA2AC"/>
    <w:rsid w:val="76C1362D"/>
    <w:rsid w:val="77162770"/>
    <w:rsid w:val="7E1D2A9A"/>
    <w:rsid w:val="9FCA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numPr>
        <w:ilvl w:val="1"/>
        <w:numId w:val="1"/>
      </w:numPr>
      <w:tabs>
        <w:tab w:val="left" w:pos="567"/>
      </w:tabs>
      <w:spacing w:line="360" w:lineRule="auto"/>
      <w:jc w:val="left"/>
      <w:outlineLvl w:val="1"/>
    </w:pPr>
    <w:rPr>
      <w:rFonts w:ascii="仿宋_GB2312" w:hAnsi="仿宋_GB2312" w:eastAsia="仿宋_GB2312"/>
      <w:b/>
      <w:bCs/>
      <w:sz w:val="32"/>
      <w:szCs w:val="28"/>
    </w:rPr>
  </w:style>
  <w:style w:type="paragraph" w:styleId="5">
    <w:name w:val="heading 3"/>
    <w:basedOn w:val="1"/>
    <w:next w:val="1"/>
    <w:qFormat/>
    <w:uiPriority w:val="0"/>
    <w:pPr>
      <w:keepNext/>
      <w:keepLines/>
      <w:numPr>
        <w:ilvl w:val="2"/>
        <w:numId w:val="1"/>
      </w:numPr>
      <w:tabs>
        <w:tab w:val="left" w:pos="709"/>
      </w:tabs>
      <w:spacing w:line="415" w:lineRule="auto"/>
      <w:outlineLvl w:val="2"/>
    </w:pPr>
    <w:rPr>
      <w:rFonts w:ascii="仿宋" w:hAnsi="仿宋" w:eastAsia="仿宋_GB2312"/>
      <w:b/>
      <w:bCs/>
      <w:sz w:val="32"/>
      <w:szCs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ind w:firstLine="200" w:firstLineChars="200"/>
    </w:pPr>
    <w:rPr>
      <w:sz w:val="24"/>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kern w:val="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2648</Words>
  <Characters>2719</Characters>
  <Lines>0</Lines>
  <Paragraphs>0</Paragraphs>
  <TotalTime>18</TotalTime>
  <ScaleCrop>false</ScaleCrop>
  <LinksUpToDate>false</LinksUpToDate>
  <CharactersWithSpaces>2719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2021-12-14T03:00:00Z</dcterms:created>
  <dc:creator>WPS_1476773594</dc:creator>
  <cp:lastModifiedBy>Administrator</cp:lastModifiedBy>
  <dcterms:modified xsi:type="dcterms:W3CDTF">2023-06-28T23:17:49Z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F5EC2DB6B6694B2B8F3C3387E14A24D0</vt:lpwstr>
  </property>
</Properties>
</file>